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E77949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ab/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 w:rsidRPr="00E77949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A58B0">
        <w:rPr>
          <w:rFonts w:ascii="Arial" w:hAnsi="Arial" w:cs="Arial"/>
        </w:rPr>
        <w:t>İdari ve Mali</w:t>
      </w:r>
      <w:r w:rsidR="0032404D">
        <w:rPr>
          <w:rFonts w:ascii="Arial" w:hAnsi="Arial" w:cs="Arial"/>
        </w:rPr>
        <w:t xml:space="preserve"> işler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F15F47" w:rsidRDefault="00432509" w:rsidP="00F15F4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AA58B0">
        <w:rPr>
          <w:rFonts w:ascii="Arial" w:hAnsi="Arial" w:cs="Arial"/>
        </w:rPr>
        <w:t>İdari ve Mali İşler</w:t>
      </w:r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1F13E3" w:rsidRPr="00EA4207" w:rsidRDefault="00F15F47" w:rsidP="00EA42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15F47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>ve Kalite Yönetim Sisteminin</w:t>
      </w:r>
      <w:r w:rsidR="00EE1718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EA1709" w:rsidRDefault="00EA1709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EE1718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EE1718" w:rsidRPr="00CB35AD" w:rsidRDefault="00EE1718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Herhangi bir Memur kadrosunda çalışıyor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FB" w:rsidRDefault="00FC31FB" w:rsidP="006C7BAC">
      <w:r>
        <w:separator/>
      </w:r>
    </w:p>
  </w:endnote>
  <w:endnote w:type="continuationSeparator" w:id="0">
    <w:p w:rsidR="00FC31FB" w:rsidRDefault="00FC31F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D4" w:rsidRDefault="00755F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7794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EA170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755FD4" w:rsidRPr="00DC64B2" w:rsidRDefault="00755FD4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D4" w:rsidRDefault="00755F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FB" w:rsidRDefault="00FC31FB" w:rsidP="006C7BAC">
      <w:r>
        <w:separator/>
      </w:r>
    </w:p>
  </w:footnote>
  <w:footnote w:type="continuationSeparator" w:id="0">
    <w:p w:rsidR="00FC31FB" w:rsidRDefault="00FC31F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D4" w:rsidRDefault="00755F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AA58B0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</w:t>
          </w:r>
          <w:r w:rsidR="0032404D">
            <w:rPr>
              <w:rFonts w:ascii="Arial" w:hAnsi="Arial" w:cs="Arial"/>
            </w:rPr>
            <w:t xml:space="preserve"> İşler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D4" w:rsidRDefault="00755F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3261B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765C5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23238"/>
    <w:rsid w:val="007320B6"/>
    <w:rsid w:val="00755FD4"/>
    <w:rsid w:val="00767448"/>
    <w:rsid w:val="00773921"/>
    <w:rsid w:val="007830A2"/>
    <w:rsid w:val="0079102E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8F55F3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8B0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C86"/>
    <w:rsid w:val="00C35D68"/>
    <w:rsid w:val="00C40F42"/>
    <w:rsid w:val="00C47376"/>
    <w:rsid w:val="00C631AE"/>
    <w:rsid w:val="00C71EB1"/>
    <w:rsid w:val="00C93CB4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77949"/>
    <w:rsid w:val="00E8623D"/>
    <w:rsid w:val="00E936DF"/>
    <w:rsid w:val="00EA1709"/>
    <w:rsid w:val="00EA4207"/>
    <w:rsid w:val="00EA7765"/>
    <w:rsid w:val="00EB0582"/>
    <w:rsid w:val="00EB789B"/>
    <w:rsid w:val="00EC5565"/>
    <w:rsid w:val="00ED3CB6"/>
    <w:rsid w:val="00EE1718"/>
    <w:rsid w:val="00EE7091"/>
    <w:rsid w:val="00EE73AA"/>
    <w:rsid w:val="00F029B4"/>
    <w:rsid w:val="00F15F47"/>
    <w:rsid w:val="00F24D6B"/>
    <w:rsid w:val="00F33404"/>
    <w:rsid w:val="00F46ECB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3B0DE-5AB0-44FB-BF34-D95E9A347810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2018-04-06T13:31:00Z</dcterms:created>
  <dcterms:modified xsi:type="dcterms:W3CDTF">2018-05-14T12:42:00Z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