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952D88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ab/>
      </w:r>
      <w:r w:rsidR="0032404D">
        <w:rPr>
          <w:rFonts w:ascii="Arial" w:hAnsi="Arial" w:cs="Arial"/>
          <w:spacing w:val="-4"/>
        </w:rPr>
        <w:t xml:space="preserve">Gıda, Tarım ve Hayvancılık Bakanlığı ve </w:t>
      </w:r>
      <w:r w:rsidRPr="00952D88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32404D">
        <w:rPr>
          <w:rFonts w:ascii="Arial" w:hAnsi="Arial" w:cs="Arial"/>
        </w:rPr>
        <w:t xml:space="preserve">“Gıda, Tarım ve Hayvancılık Bakanlığı, Taşra Teşkilatının Görevleri, Çalışma Usul ve Esasları Hakkında Yönerge” gereğince İlçe Müdürlüğünde </w:t>
      </w:r>
      <w:r w:rsidR="008229FF">
        <w:rPr>
          <w:rFonts w:ascii="Arial" w:hAnsi="Arial" w:cs="Arial"/>
        </w:rPr>
        <w:t>Gıda</w:t>
      </w:r>
      <w:r w:rsidR="0032404D">
        <w:rPr>
          <w:rFonts w:ascii="Arial" w:hAnsi="Arial" w:cs="Arial"/>
        </w:rPr>
        <w:t xml:space="preserve"> işler</w:t>
      </w:r>
      <w:r w:rsidR="008229FF">
        <w:rPr>
          <w:rFonts w:ascii="Arial" w:hAnsi="Arial" w:cs="Arial"/>
        </w:rPr>
        <w:t>i</w:t>
      </w:r>
      <w:r w:rsidR="0032404D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3"/>
        </w:rPr>
        <w:t>ile ilgili faaliyetleri yürütmek.</w:t>
      </w:r>
    </w:p>
    <w:p w:rsidR="00C631AE" w:rsidRDefault="00CB35AD" w:rsidP="008229FF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D14907" w:rsidRDefault="00C631AE" w:rsidP="00D14907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“</w:t>
      </w:r>
      <w:r>
        <w:rPr>
          <w:rFonts w:ascii="Arial" w:hAnsi="Arial" w:cs="Arial"/>
        </w:rPr>
        <w:t xml:space="preserve">Gıda, Tarım ve Hayvancılık Bakanlığı, Taşra Teşkilatının Görevleri, Çalışma Usul ve Esasları Hakkında </w:t>
      </w:r>
      <w:proofErr w:type="spellStart"/>
      <w:r>
        <w:rPr>
          <w:rFonts w:ascii="Arial" w:hAnsi="Arial" w:cs="Arial"/>
        </w:rPr>
        <w:t>Yönerge”de</w:t>
      </w:r>
      <w:proofErr w:type="spellEnd"/>
      <w:r>
        <w:rPr>
          <w:rFonts w:ascii="Arial" w:hAnsi="Arial" w:cs="Arial"/>
        </w:rPr>
        <w:t xml:space="preserve"> yer alan Gıda ve Yem Şube Müdürlüğünün Görevlerinden mevzuat gereği İlçe Müdürlüğünün yapması gereken görev ve sorumlulukları yerine getirmek,</w:t>
      </w:r>
    </w:p>
    <w:p w:rsidR="00D14907" w:rsidRPr="00D14907" w:rsidRDefault="00D14907" w:rsidP="00D14907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14907">
        <w:rPr>
          <w:rFonts w:ascii="Arial" w:eastAsia="TimesNewRoman" w:hAnsi="Arial" w:cs="Arial"/>
        </w:rPr>
        <w:t>Gıda, Tarım ve Hayvancılık Bakanlığı Taşra Teşkilatının Görevleri, Çalışma Usul ve Esasları hakkında Yönerge gereği yaptıkları işlerden İlçe Müdürüne karşı sorumludurlar.</w:t>
      </w:r>
    </w:p>
    <w:p w:rsidR="00CB35AD" w:rsidRDefault="005B76EA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Gıda üretim, satış ve toplu tüketim yerlerinin kayıt işlemlerinin yapılması,</w:t>
      </w:r>
    </w:p>
    <w:p w:rsidR="001F13E3" w:rsidRDefault="005B76EA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Gıda işletmelerinin denetimlerinin rutin olarak yapılması,</w:t>
      </w:r>
    </w:p>
    <w:p w:rsidR="005B76EA" w:rsidRDefault="005B76EA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Alo174, </w:t>
      </w:r>
      <w:proofErr w:type="spellStart"/>
      <w:r>
        <w:rPr>
          <w:rFonts w:ascii="Arial" w:hAnsi="Arial" w:cs="Arial"/>
        </w:rPr>
        <w:t>Bimer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vb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şikayet</w:t>
      </w:r>
      <w:proofErr w:type="gramEnd"/>
      <w:r>
        <w:rPr>
          <w:rFonts w:ascii="Arial" w:hAnsi="Arial" w:cs="Arial"/>
        </w:rPr>
        <w:t xml:space="preserve"> ve talepleri içeren müracaatların değerlendirilerek üst birime bilgi verilmesi,</w:t>
      </w:r>
    </w:p>
    <w:p w:rsidR="005B76EA" w:rsidRDefault="005B76EA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7AF0">
        <w:rPr>
          <w:rFonts w:ascii="Arial" w:hAnsi="Arial" w:cs="Arial"/>
        </w:rPr>
        <w:t>Gıda ithalat ve ihracat işlemlerinin yapılması,</w:t>
      </w:r>
    </w:p>
    <w:p w:rsidR="00397AF0" w:rsidRDefault="00397AF0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Gıda işletmelerinin ruhsat ve izin işlemlerinin yapılması,</w:t>
      </w:r>
    </w:p>
    <w:p w:rsidR="00397AF0" w:rsidRDefault="00397AF0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2817">
        <w:rPr>
          <w:rFonts w:ascii="Arial" w:hAnsi="Arial" w:cs="Arial"/>
        </w:rPr>
        <w:t xml:space="preserve">Gıda işlerinde görevli personelin eğitim ihtiyacının karşılanması için İl Müdürlüğü ile </w:t>
      </w:r>
      <w:r w:rsidR="00B55CD6">
        <w:rPr>
          <w:rFonts w:ascii="Arial" w:hAnsi="Arial" w:cs="Arial"/>
        </w:rPr>
        <w:t>koordineli olarak personelin eğitim almasının sağlanması,</w:t>
      </w:r>
    </w:p>
    <w:p w:rsidR="00F26A64" w:rsidRPr="001F13E3" w:rsidRDefault="00F26A64" w:rsidP="001F13E3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Gıda konusunda savcılık, mahkeme, gümrük gibi kurumlardan gelen taleplerin değerlendirilmesi,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D247AE">
        <w:rPr>
          <w:rFonts w:ascii="Arial" w:hAnsi="Arial" w:cs="Arial"/>
          <w:spacing w:val="-2"/>
        </w:rPr>
        <w:t xml:space="preserve">ve Kalite </w:t>
      </w:r>
      <w:r w:rsidR="00D247AE">
        <w:rPr>
          <w:rFonts w:ascii="Arial" w:hAnsi="Arial" w:cs="Arial"/>
          <w:spacing w:val="-2"/>
        </w:rPr>
        <w:lastRenderedPageBreak/>
        <w:t>Yönetim Sisteminin</w:t>
      </w:r>
      <w:r w:rsidR="00AE2F67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896191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İlçe Gıda, Tarım ve Hayvancılık</w:t>
      </w:r>
      <w:r w:rsidR="006C2C38">
        <w:rPr>
          <w:rFonts w:ascii="Arial" w:hAnsi="Arial" w:cs="Arial"/>
          <w:spacing w:val="-3"/>
        </w:rPr>
        <w:t xml:space="preserve">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A453F7" w:rsidRDefault="00A453F7" w:rsidP="00A453F7">
      <w:pPr>
        <w:widowControl w:val="0"/>
        <w:numPr>
          <w:ilvl w:val="0"/>
          <w:numId w:val="1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AE2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77" w:rsidRDefault="00A42877" w:rsidP="006C7BAC">
      <w:r>
        <w:separator/>
      </w:r>
    </w:p>
  </w:endnote>
  <w:endnote w:type="continuationSeparator" w:id="0">
    <w:p w:rsidR="00A42877" w:rsidRDefault="00A4287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67" w:rsidRDefault="00AE2F6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247A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952D8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453F7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247AE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AE2F67" w:rsidP="00AE2F67">
    <w:pPr>
      <w:pStyle w:val="Altbilgi"/>
      <w:tabs>
        <w:tab w:val="clear" w:pos="4536"/>
        <w:tab w:val="clear" w:pos="9072"/>
        <w:tab w:val="left" w:pos="2040"/>
      </w:tabs>
    </w:pPr>
    <w:r>
      <w:tab/>
    </w:r>
  </w:p>
  <w:p w:rsidR="00AE2F67" w:rsidRPr="00DC64B2" w:rsidRDefault="00AE2F67" w:rsidP="00AE2F67">
    <w:pPr>
      <w:pStyle w:val="Altbilgi"/>
      <w:tabs>
        <w:tab w:val="clear" w:pos="4536"/>
        <w:tab w:val="clear" w:pos="9072"/>
        <w:tab w:val="left" w:pos="2040"/>
      </w:tabs>
      <w:jc w:val="center"/>
    </w:pP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67" w:rsidRDefault="00AE2F6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77" w:rsidRDefault="00A42877" w:rsidP="006C7BAC">
      <w:r>
        <w:separator/>
      </w:r>
    </w:p>
  </w:footnote>
  <w:footnote w:type="continuationSeparator" w:id="0">
    <w:p w:rsidR="00A42877" w:rsidRDefault="00A4287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67" w:rsidRDefault="00AE2F6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E10218" w:rsidP="007C4DA8">
          <w:pPr>
            <w:pStyle w:val="stbilgi"/>
            <w:jc w:val="center"/>
            <w:rPr>
              <w:sz w:val="22"/>
              <w:szCs w:val="22"/>
            </w:rPr>
          </w:pPr>
          <w:r w:rsidRPr="00E10218">
            <w:rPr>
              <w:noProof/>
            </w:rPr>
            <w:drawing>
              <wp:inline distT="0" distB="0" distL="0" distR="0">
                <wp:extent cx="8286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2404D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İLÇE</w:t>
          </w:r>
          <w:r w:rsidR="00DC64B2">
            <w:rPr>
              <w:rFonts w:ascii="Arial" w:hAnsi="Arial" w:cs="Arial"/>
              <w:b/>
            </w:rPr>
            <w:t xml:space="preserve">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8229FF" w:rsidP="00E1021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</w:t>
          </w:r>
          <w:r w:rsidR="0032404D">
            <w:rPr>
              <w:rFonts w:ascii="Arial" w:hAnsi="Arial" w:cs="Arial"/>
            </w:rPr>
            <w:t xml:space="preserve"> İşler</w:t>
          </w:r>
          <w:r>
            <w:rPr>
              <w:rFonts w:ascii="Arial" w:hAnsi="Arial" w:cs="Arial"/>
            </w:rPr>
            <w:t>i</w:t>
          </w:r>
          <w:r w:rsidR="00DC64B2">
            <w:rPr>
              <w:rFonts w:ascii="Arial" w:hAnsi="Arial" w:cs="Arial"/>
            </w:rPr>
            <w:t xml:space="preserve">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32404D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İlçe Gıda, Tarım ve Hayvancılık </w:t>
          </w:r>
          <w:r w:rsidR="00DC64B2" w:rsidRPr="00207A9E">
            <w:rPr>
              <w:rFonts w:ascii="Arial" w:hAnsi="Arial" w:cs="Arial"/>
              <w:sz w:val="22"/>
              <w:szCs w:val="22"/>
            </w:rPr>
            <w:t>Müdürlüğü</w:t>
          </w:r>
          <w:r w:rsidR="00DC64B2"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F67" w:rsidRDefault="00AE2F6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5"/>
  </w:num>
  <w:num w:numId="5">
    <w:abstractNumId w:val="8"/>
  </w:num>
  <w:num w:numId="6">
    <w:abstractNumId w:val="2"/>
  </w:num>
  <w:num w:numId="7">
    <w:abstractNumId w:val="16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20B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3399"/>
    <w:rsid w:val="001E6C9E"/>
    <w:rsid w:val="001F13E3"/>
    <w:rsid w:val="001F719D"/>
    <w:rsid w:val="00207A9E"/>
    <w:rsid w:val="002169B2"/>
    <w:rsid w:val="002203CE"/>
    <w:rsid w:val="00224333"/>
    <w:rsid w:val="00245C3A"/>
    <w:rsid w:val="002469F4"/>
    <w:rsid w:val="00256190"/>
    <w:rsid w:val="0026474A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2404D"/>
    <w:rsid w:val="00351E2C"/>
    <w:rsid w:val="00354109"/>
    <w:rsid w:val="003700C3"/>
    <w:rsid w:val="00372E9C"/>
    <w:rsid w:val="00381432"/>
    <w:rsid w:val="0039186F"/>
    <w:rsid w:val="00397AF0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A06B5"/>
    <w:rsid w:val="005B6AB2"/>
    <w:rsid w:val="005B76EA"/>
    <w:rsid w:val="005D0888"/>
    <w:rsid w:val="005E17B7"/>
    <w:rsid w:val="005E65F1"/>
    <w:rsid w:val="005E6CC4"/>
    <w:rsid w:val="005E6D52"/>
    <w:rsid w:val="005F255B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A7912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229FF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6191"/>
    <w:rsid w:val="008B2C71"/>
    <w:rsid w:val="008C0898"/>
    <w:rsid w:val="008F0A2D"/>
    <w:rsid w:val="0090068B"/>
    <w:rsid w:val="00907EC7"/>
    <w:rsid w:val="00935D51"/>
    <w:rsid w:val="00941BF9"/>
    <w:rsid w:val="00952D88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42877"/>
    <w:rsid w:val="00A453F7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C2ACA"/>
    <w:rsid w:val="00AE0B91"/>
    <w:rsid w:val="00AE2F67"/>
    <w:rsid w:val="00AE5315"/>
    <w:rsid w:val="00AE5E50"/>
    <w:rsid w:val="00AF5BD2"/>
    <w:rsid w:val="00B001F3"/>
    <w:rsid w:val="00B03971"/>
    <w:rsid w:val="00B145FE"/>
    <w:rsid w:val="00B21B61"/>
    <w:rsid w:val="00B37417"/>
    <w:rsid w:val="00B54115"/>
    <w:rsid w:val="00B55CD6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53FF1"/>
    <w:rsid w:val="00C631AE"/>
    <w:rsid w:val="00C71EB1"/>
    <w:rsid w:val="00C93CB4"/>
    <w:rsid w:val="00CB35AD"/>
    <w:rsid w:val="00CC52CD"/>
    <w:rsid w:val="00CE015E"/>
    <w:rsid w:val="00D13C0D"/>
    <w:rsid w:val="00D14907"/>
    <w:rsid w:val="00D247AE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48F7"/>
    <w:rsid w:val="00DE586B"/>
    <w:rsid w:val="00DF456A"/>
    <w:rsid w:val="00E00BEA"/>
    <w:rsid w:val="00E036FC"/>
    <w:rsid w:val="00E07A8E"/>
    <w:rsid w:val="00E10218"/>
    <w:rsid w:val="00E26EFD"/>
    <w:rsid w:val="00E36591"/>
    <w:rsid w:val="00E51F7A"/>
    <w:rsid w:val="00E5561F"/>
    <w:rsid w:val="00E60FF0"/>
    <w:rsid w:val="00E74EC0"/>
    <w:rsid w:val="00E8623D"/>
    <w:rsid w:val="00E936DF"/>
    <w:rsid w:val="00EA7765"/>
    <w:rsid w:val="00EB0582"/>
    <w:rsid w:val="00EB789B"/>
    <w:rsid w:val="00EC5565"/>
    <w:rsid w:val="00ED3CB6"/>
    <w:rsid w:val="00EE60CC"/>
    <w:rsid w:val="00EE7091"/>
    <w:rsid w:val="00EE73AA"/>
    <w:rsid w:val="00F029B4"/>
    <w:rsid w:val="00F24D6B"/>
    <w:rsid w:val="00F26A64"/>
    <w:rsid w:val="00F33404"/>
    <w:rsid w:val="00F60A3F"/>
    <w:rsid w:val="00F61607"/>
    <w:rsid w:val="00F661D4"/>
    <w:rsid w:val="00F75773"/>
    <w:rsid w:val="00F819A5"/>
    <w:rsid w:val="00F82817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5B8D18-5C62-4FC2-ACC8-8AAC568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2019-05-22T06:51:31+00:00</YayinBitisTarihi>
  </documentManagement>
</p:properties>
</file>

<file path=customXml/itemProps1.xml><?xml version="1.0" encoding="utf-8"?>
<ds:datastoreItem xmlns:ds="http://schemas.openxmlformats.org/officeDocument/2006/customXml" ds:itemID="{97B18F4A-1107-4659-8C56-A351164867E6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558D4966-C523-4092-A09D-8007FFD54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2018-04-06T13:30:00Z</dcterms:created>
  <dcterms:modified xsi:type="dcterms:W3CDTF">2018-05-14T12:42:00Z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